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600"/>
        </w:sectPr>
      </w:pPr>
    </w:p>
    <w:p>
      <w:pPr>
        <w:spacing w:before="93"/>
        <w:ind w:left="0" w:right="38" w:firstLine="0"/>
        <w:jc w:val="righ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Bilag 5.2 | Risikoanalyse -</w:t>
      </w:r>
    </w:p>
    <w:p>
      <w:pPr>
        <w:pStyle w:val="BodyText"/>
        <w:spacing w:before="93"/>
        <w:ind w:left="740"/>
      </w:pPr>
      <w:r>
        <w:rPr/>
        <w:br w:type="column"/>
      </w:r>
      <w:r>
        <w:rPr>
          <w:color w:val="808080"/>
        </w:rPr>
        <w:t>Klik her for at angive tekst.</w:t>
      </w:r>
    </w:p>
    <w:p>
      <w:pPr>
        <w:pStyle w:val="BodyText"/>
        <w:spacing w:before="4"/>
        <w:ind w:left="1728"/>
      </w:pPr>
      <w:r>
        <w:rPr/>
        <w:pict>
          <v:group style="position:absolute;margin-left:616.929993pt;margin-top:-14.642148pt;width:48.3pt;height:14.55pt;mso-position-horizontal-relative:page;mso-position-vertical-relative:paragraph;z-index:1072" coordorigin="12339,-293" coordsize="966,291">
            <v:shape style="position:absolute;left:12349;top:-283;width:944;height:270" coordorigin="12349,-282" coordsize="944,270" path="m13293,-282l12395,-282,12388,-275,12388,-272,12383,-268,12383,-265,12381,-263,12381,-260,12376,-256,12376,-253,12373,-251,12373,-248,12371,-246,12371,-244,12369,-241,12369,-236,12366,-234,12366,-232,12364,-229,12364,-224,12361,-222,12361,-217,12359,-215,12359,-210,12357,-208,12357,-200,12354,-198,12354,-188,12352,-186,12352,-172,12349,-169,12349,-126,12352,-124,12352,-109,12354,-107,12354,-97,12357,-95,12357,-88,12359,-85,12359,-80,12361,-78,12361,-73,12364,-71,12364,-66,12366,-64,12366,-61,12369,-59,12369,-54,12371,-51,12371,-49,12373,-46,12373,-44,12376,-42,12376,-39,12381,-34,12381,-32,12383,-30,12383,-27,12388,-22,12388,-20,12395,-13,13293,-13,13286,-20,13286,-22,13281,-27,13281,-30,13279,-32,13279,-34,13274,-39,13274,-42,13272,-44,13272,-46,13269,-49,13269,-51,13267,-54,13267,-59,13264,-61,13264,-64,13262,-66,13262,-71,13260,-73,13260,-78,13257,-80,13257,-85,13255,-88,13255,-95,13252,-97,13252,-107,13250,-109,13250,-124,13248,-126,13248,-169,13250,-172,13250,-186,13252,-188,13252,-198,13255,-200,13255,-208,13257,-210,13257,-215,13260,-217,13260,-222,13262,-224,13262,-229,13264,-232,13264,-234,13267,-236,13267,-241,13269,-244,13269,-246,13272,-248,13272,-251,13274,-253,13274,-256,13279,-260,13279,-263,13281,-265,13281,-268,13286,-272,13286,-275,13293,-282xe" filled="true" fillcolor="#ffcccc" stroked="false">
              <v:path arrowok="t"/>
              <v:fill type="solid"/>
            </v:shape>
            <v:shape style="position:absolute;left:12349;top:-283;width:944;height:270" coordorigin="12349,-282" coordsize="944,270" path="m12395,-13l12393,-15,12390,-18,12388,-20,12388,-22,12385,-25,12383,-27,12383,-30,12381,-32,12381,-34,12378,-37,12376,-39,12376,-42,12373,-44,12373,-46,12371,-49,12371,-51,12369,-54,12369,-56,12369,-59,12366,-61,12366,-64,12364,-66,12364,-68,12364,-71,12361,-73,12361,-76,12361,-78,12359,-80,12359,-83,12359,-85,12357,-88,12357,-90,12357,-92,12357,-95,12354,-97,12354,-100,12354,-102,12354,-104,12354,-107,12352,-109,12352,-124,12349,-126,12349,-169,12352,-172,12352,-186,12354,-188,12354,-191,12354,-193,12354,-196,12354,-198,12357,-200,12357,-203,12357,-205,12357,-208,12359,-210,12359,-212,12359,-215,12361,-217,12361,-220,12361,-222,12364,-224,12364,-227,12364,-229,12366,-232,12366,-234,12369,-236,12369,-239,12369,-241,12371,-244,12371,-246,12373,-248,12373,-251,12376,-253,12376,-256,12378,-258,12381,-260,12381,-263,12383,-265,12383,-268,12385,-270,12388,-272,12388,-275,12390,-277,12393,-280,12395,-282,13293,-282,13291,-280,13288,-277,13286,-275,13286,-272,13284,-270,13281,-268,13281,-265,13279,-263,13279,-260,13276,-258,13274,-256,13274,-253,13272,-251,13272,-248,13269,-246,13269,-244,13267,-241,13267,-239,13267,-236,13264,-234,13264,-232,13262,-229,13262,-227,13262,-224,13260,-222,13260,-220,13260,-217,13257,-215,13257,-212,13257,-210,13255,-208,13255,-205,13255,-203,13255,-200,13252,-198,13252,-196,13252,-193,13252,-191,13252,-188,13250,-186,13250,-172,13248,-169,13248,-126,13250,-124,13250,-109,13252,-107,13252,-104,13252,-102,13252,-100,13252,-97,13255,-95,13255,-92,13255,-90,13255,-88,13257,-85,13257,-83,13257,-80,13260,-78,13260,-76,13260,-73,13262,-71,13262,-68,13262,-66,13264,-64,13264,-61,13267,-59,13267,-56,13267,-54,13269,-51,13269,-49,13272,-46,13272,-44,13274,-42,13274,-39,13276,-37,13279,-34,13279,-32,13281,-30,13281,-27,13284,-25,13286,-22,13286,-20,13288,-18,13291,-15,13293,-13,12395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65;top:-272;width:882;height:248" type="#_x0000_t202" filled="false" stroked="false">
              <v:textbox inset="0,0,0,0">
                <w:txbxContent>
                  <w:p>
                    <w:pPr>
                      <w:spacing w:before="4"/>
                      <w:ind w:left="119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Dato: XX</w:t>
      </w:r>
      <w:r>
        <w:rPr>
          <w:color w:val="FF0000"/>
        </w:rPr>
        <w:t>.</w:t>
      </w:r>
      <w:r>
        <w:rPr/>
        <w:t>XX</w:t>
      </w:r>
      <w:r>
        <w:rPr>
          <w:color w:val="FF0000"/>
        </w:rPr>
        <w:t>.</w:t>
      </w:r>
      <w:r>
        <w:rPr/>
        <w:t>20XX</w:t>
      </w:r>
    </w:p>
    <w:p>
      <w:pPr>
        <w:spacing w:after="0"/>
        <w:sectPr>
          <w:type w:val="continuous"/>
          <w:pgSz w:w="16840" w:h="11910" w:orient="landscape"/>
          <w:pgMar w:top="320" w:bottom="280" w:left="700" w:right="600"/>
          <w:cols w:num="2" w:equalWidth="0">
            <w:col w:w="11629" w:space="227"/>
            <w:col w:w="36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7"/>
        <w:gridCol w:w="4472"/>
        <w:gridCol w:w="7420"/>
      </w:tblGrid>
      <w:tr>
        <w:trPr>
          <w:trHeight w:val="521" w:hRule="atLeast"/>
        </w:trPr>
        <w:tc>
          <w:tcPr>
            <w:tcW w:w="15219" w:type="dxa"/>
            <w:gridSpan w:val="3"/>
            <w:shd w:val="clear" w:color="auto" w:fill="E4E4E4"/>
          </w:tcPr>
          <w:p>
            <w:pPr>
              <w:pStyle w:val="TableParagraph"/>
              <w:spacing w:before="161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5.2 Beskrivelse af risikoområder eller særlige farlige aktiviteter i forhold til den projekterendes vurdering og oplysninger</w:t>
            </w:r>
          </w:p>
        </w:tc>
      </w:tr>
      <w:tr>
        <w:trPr>
          <w:trHeight w:val="238" w:hRule="atLeast"/>
        </w:trPr>
        <w:tc>
          <w:tcPr>
            <w:tcW w:w="3327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32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332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332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332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3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3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33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9" w:hRule="atLeast"/>
        </w:trPr>
        <w:tc>
          <w:tcPr>
            <w:tcW w:w="7799" w:type="dxa"/>
            <w:gridSpan w:val="2"/>
            <w:tcBorders>
              <w:righ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92"/>
              <w:rPr>
                <w:b/>
                <w:sz w:val="14"/>
              </w:rPr>
            </w:pPr>
            <w:r>
              <w:rPr>
                <w:b/>
                <w:sz w:val="14"/>
              </w:rPr>
              <w:t>Regelgrundlag, vejledning og gode råd</w:t>
            </w:r>
          </w:p>
        </w:tc>
        <w:tc>
          <w:tcPr>
            <w:tcW w:w="7420" w:type="dxa"/>
            <w:tcBorders>
              <w:left w:val="single" w:sz="4" w:space="0" w:color="000000"/>
            </w:tcBorders>
            <w:shd w:val="clear" w:color="auto" w:fill="E4E4E4"/>
          </w:tcPr>
          <w:p>
            <w:pPr>
              <w:pStyle w:val="TableParagraph"/>
              <w:spacing w:before="96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Vejledning og gode råd</w:t>
            </w:r>
          </w:p>
        </w:tc>
      </w:tr>
      <w:tr>
        <w:trPr>
          <w:trHeight w:val="1534" w:hRule="atLeast"/>
        </w:trPr>
        <w:tc>
          <w:tcPr>
            <w:tcW w:w="77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AT-bekendtgørelse nr. 1416 om bygherrens pligter § 6 og bilag 1</w:t>
            </w:r>
          </w:p>
          <w:p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samt AT-bekendtgørelse nr. 574 om projekterendes pligter m.v. § 10 og bilag 1.</w:t>
            </w:r>
          </w:p>
          <w:p>
            <w:pPr>
              <w:pStyle w:val="TableParagraph"/>
              <w:spacing w:before="11"/>
              <w:rPr>
                <w:rFonts w:ascii="Arial"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37" w:lineRule="auto" w:before="0" w:after="0"/>
              <w:ind w:left="92" w:right="271" w:firstLine="0"/>
              <w:jc w:val="left"/>
              <w:rPr>
                <w:sz w:val="14"/>
              </w:rPr>
            </w:pPr>
            <w:r>
              <w:rPr>
                <w:sz w:val="14"/>
              </w:rPr>
              <w:t>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ansvarlige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skal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kortfattet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opliste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beskrive,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hvilke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særlige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farlige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aktiviteter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eller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risikoområder, der er på byggepladsen i forhold til angivelser 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udbudsmaterialet.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Der skal lægges vægt på de aktiviteter nævnte i bilag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92" w:right="484" w:firstLine="0"/>
              <w:jc w:val="left"/>
              <w:rPr>
                <w:sz w:val="14"/>
              </w:rPr>
            </w:pPr>
            <w:r>
              <w:rPr>
                <w:sz w:val="14"/>
              </w:rPr>
              <w:t>En oplistning af særlige farlige aktiviteter kan udelades såfremt det klart fremgår af byggepladsens oversigtstegning og tids- og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bemandingsplan.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153" w:lineRule="exact" w:before="1" w:after="0"/>
              <w:ind w:left="279" w:right="0" w:hanging="187"/>
              <w:jc w:val="left"/>
              <w:rPr>
                <w:sz w:val="14"/>
              </w:rPr>
            </w:pPr>
            <w:r>
              <w:rPr>
                <w:sz w:val="14"/>
              </w:rPr>
              <w:t>Listen af særlige farlige aktiviteter fremsendes til kommentering af de(n)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udførende.</w:t>
            </w:r>
          </w:p>
        </w:tc>
        <w:tc>
          <w:tcPr>
            <w:tcW w:w="7420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40" w:lineRule="auto" w:before="0" w:after="0"/>
              <w:ind w:left="107" w:right="805" w:firstLine="0"/>
              <w:jc w:val="left"/>
              <w:rPr>
                <w:sz w:val="14"/>
              </w:rPr>
            </w:pPr>
            <w:r>
              <w:rPr>
                <w:sz w:val="14"/>
              </w:rPr>
              <w:t>De(n) udførende vurderer udkastet og fremsender eventuelle kommentarer,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supplerende oplysninger eller en sikkerhedsinstruks til den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ansvarlige.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237" w:lineRule="auto" w:before="2" w:after="0"/>
              <w:ind w:left="107" w:right="485" w:firstLine="0"/>
              <w:jc w:val="left"/>
              <w:rPr>
                <w:sz w:val="14"/>
              </w:rPr>
            </w:pPr>
            <w:r>
              <w:rPr>
                <w:sz w:val="14"/>
              </w:rPr>
              <w:t>Den endelige liste anvendes af den ansvarlige for PSS til vurdering af behovet for sikkerhedsinstrukser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særlige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farlige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aktiviteter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eller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risikoområder.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anbefales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de(n) udførendes forslag til sikkerhedsinstrukser medtages og koordineres i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PSS.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170" w:lineRule="atLeast" w:before="2" w:after="0"/>
              <w:ind w:left="107" w:right="137" w:firstLine="0"/>
              <w:jc w:val="left"/>
              <w:rPr>
                <w:sz w:val="14"/>
              </w:rPr>
            </w:pPr>
            <w:r>
              <w:rPr>
                <w:sz w:val="14"/>
              </w:rPr>
              <w:t>Arbejde over 5 meter, arbejde i dybe udgravninger, arbejde med farlige stoffer og materialer, kloakarbejde, forurenet jord, nedrivningsarbejde, asbest, isolering, epoxy, arbejde ved højspændingsledninger, arbejde tæt ved vand, arbejde i brønde og tunneller samt arbejde med montering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demontering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af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tunge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beton-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eller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træbaserede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elementer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særlige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farlige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aktiviteter.</w:t>
            </w:r>
          </w:p>
        </w:tc>
      </w:tr>
    </w:tbl>
    <w:sectPr>
      <w:type w:val="continuous"/>
      <w:pgSz w:w="16840" w:h="11910" w:orient="landscape"/>
      <w:pgMar w:top="320" w:bottom="280" w:left="7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ind w:left="107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29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558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287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017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746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475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204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5934" w:hanging="188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2" w:hanging="188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867" w:hanging="188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34" w:hanging="188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01" w:hanging="188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168" w:hanging="188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3935" w:hanging="188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702" w:hanging="188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470" w:hanging="188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237" w:hanging="188"/>
      </w:pPr>
      <w:rPr>
        <w:rFonts w:hint="default"/>
        <w:lang w:val="da-DY" w:eastAsia="da-DY" w:bidi="da-DY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2019-06-21T08:31:07Z</dcterms:created>
  <dcterms:modified xsi:type="dcterms:W3CDTF">2019-06-21T08:31:07Z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